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8638" w14:textId="69E56C67" w:rsidR="00596D81" w:rsidRPr="0082655B" w:rsidRDefault="0082655B">
      <w:pPr>
        <w:pStyle w:val="Ttulo1"/>
        <w:rPr>
          <w:rFonts w:ascii="Verdana" w:hAnsi="Verdana"/>
          <w:sz w:val="24"/>
          <w:szCs w:val="24"/>
        </w:rPr>
      </w:pPr>
      <w:bookmarkStart w:id="0" w:name="X06e3904b5b99166a0683bb5e8ec87c7eff6b633"/>
      <w:r w:rsidRPr="0082655B">
        <w:rPr>
          <w:rFonts w:ascii="Verdana" w:hAnsi="Verdana"/>
          <w:sz w:val="24"/>
          <w:szCs w:val="24"/>
        </w:rPr>
        <w:t>Anti-</w:t>
      </w:r>
      <w:proofErr w:type="spellStart"/>
      <w:r w:rsidRPr="0082655B">
        <w:rPr>
          <w:rFonts w:ascii="Verdana" w:hAnsi="Verdana"/>
          <w:sz w:val="24"/>
          <w:szCs w:val="24"/>
        </w:rPr>
        <w:t>Inperialist</w:t>
      </w:r>
      <w:proofErr w:type="spellEnd"/>
      <w:r w:rsidRPr="0082655B">
        <w:rPr>
          <w:rFonts w:ascii="Verdana" w:hAnsi="Verdana"/>
          <w:sz w:val="24"/>
          <w:szCs w:val="24"/>
        </w:rPr>
        <w:t xml:space="preserve"> Front</w:t>
      </w:r>
    </w:p>
    <w:p w14:paraId="506FE92F" w14:textId="77777777" w:rsidR="00596D81" w:rsidRPr="0082655B" w:rsidRDefault="00000000">
      <w:pPr>
        <w:rPr>
          <w:rFonts w:ascii="Verdana" w:hAnsi="Verdana"/>
        </w:rPr>
      </w:pPr>
      <w:r w:rsidRPr="0082655B">
        <w:rPr>
          <w:rFonts w:ascii="Verdana" w:hAnsi="Verdana"/>
        </w:rPr>
        <w:pict w14:anchorId="23B89570">
          <v:rect id="_x0000_i1025" style="width:0;height:1.5pt" o:hralign="center" o:hrstd="t" o:hr="t"/>
        </w:pict>
      </w:r>
    </w:p>
    <w:p w14:paraId="06242527" w14:textId="77777777" w:rsidR="00596D81" w:rsidRPr="0082655B" w:rsidRDefault="00000000">
      <w:pPr>
        <w:pStyle w:val="Ttulo2"/>
        <w:rPr>
          <w:rFonts w:ascii="Verdana" w:hAnsi="Verdana"/>
          <w:sz w:val="24"/>
          <w:szCs w:val="24"/>
        </w:rPr>
      </w:pPr>
      <w:bookmarkStart w:id="1" w:name="sinopsis-central"/>
      <w:proofErr w:type="spellStart"/>
      <w:r w:rsidRPr="0082655B">
        <w:rPr>
          <w:rFonts w:ascii="Verdana" w:hAnsi="Verdana"/>
          <w:sz w:val="24"/>
          <w:szCs w:val="24"/>
        </w:rPr>
        <w:t>Sinopsis</w:t>
      </w:r>
      <w:proofErr w:type="spellEnd"/>
      <w:r w:rsidRPr="0082655B">
        <w:rPr>
          <w:rFonts w:ascii="Verdana" w:hAnsi="Verdana"/>
          <w:sz w:val="24"/>
          <w:szCs w:val="24"/>
        </w:rPr>
        <w:t xml:space="preserve"> Central</w:t>
      </w:r>
    </w:p>
    <w:p w14:paraId="33B2087C" w14:textId="77777777" w:rsidR="00596D81" w:rsidRPr="0082655B" w:rsidRDefault="00000000">
      <w:pPr>
        <w:pStyle w:val="FirstParagraph"/>
        <w:rPr>
          <w:rFonts w:ascii="Verdana" w:hAnsi="Verdana"/>
        </w:rPr>
      </w:pPr>
      <w:r w:rsidRPr="0082655B">
        <w:rPr>
          <w:rFonts w:ascii="Verdana" w:hAnsi="Verdana"/>
        </w:rPr>
        <w:t xml:space="preserve">El orador principal en Barcelona enmarca a la OTAN como la arquitectura militar-operativa del imperialismo contemporáneo: no “defiende” el orden, lo produce mediante guerra permanente, sanciones, desestabilización y dependencia financiera, tecnológica, energética y cultural; Turquía es señalada como nodo crítico con una próxima cumbre y nuevo centro de operaciones, articulado con el gobierno de Erdogan y el sistema que arma a Israel, para proyectar poder hacia Europa, Asia Occidental, el Cáucaso y África. La evidencia citada recorre intervenciones (Yugoslavia, Afganistán, Libia), militarización expansiva y el uso de sanciones y guerras subsidiarias como sustitutos de la invasión directa; el “Estado de seguridad” en casa complementa la agresión afuera mediante vigilancia, criminalización y restricción de libertades. El subtexto político empuja a cerrar el debate reformista: la oposición a guerras puntuales no basta porque la causa es sistémica; se exige desmantelar la OTAN, cerrar bases, retirar fuerzas, reconocer la autodeterminación y construir un frente internacional antiimperialista. Nosotros asumimos que la ventana estratégica es ahora: la legitimidad del bloque imperial se erosiona, las resistencias se conectan de Palestina a América Latina y, dentro de los centros imperialistas, los pueblos ya entran en conflicto; la apuesta es transformar estas contradicciones en organización coordinada, con identidad clara (anti-OTAN, antiimperialismo) y compromiso operativo </w:t>
      </w:r>
      <w:proofErr w:type="gramStart"/>
      <w:r w:rsidRPr="0082655B">
        <w:rPr>
          <w:rFonts w:ascii="Verdana" w:hAnsi="Verdana"/>
        </w:rPr>
        <w:t>para articular</w:t>
      </w:r>
      <w:proofErr w:type="gramEnd"/>
      <w:r w:rsidRPr="0082655B">
        <w:rPr>
          <w:rFonts w:ascii="Verdana" w:hAnsi="Verdana"/>
        </w:rPr>
        <w:t xml:space="preserve"> lucha y solidaridad material con Palestina y otros frentes.</w:t>
      </w:r>
    </w:p>
    <w:p w14:paraId="4FFC432E" w14:textId="77777777" w:rsidR="00596D81" w:rsidRPr="0082655B" w:rsidRDefault="00000000">
      <w:pPr>
        <w:rPr>
          <w:rFonts w:ascii="Verdana" w:hAnsi="Verdana"/>
        </w:rPr>
      </w:pPr>
      <w:r w:rsidRPr="0082655B">
        <w:rPr>
          <w:rFonts w:ascii="Verdana" w:hAnsi="Verdana"/>
        </w:rPr>
        <w:pict w14:anchorId="076A7BE5">
          <v:rect id="_x0000_i1026" style="width:0;height:1.5pt" o:hralign="center" o:hrstd="t" o:hr="t"/>
        </w:pict>
      </w:r>
    </w:p>
    <w:p w14:paraId="1BAA1627" w14:textId="77777777" w:rsidR="00596D81" w:rsidRPr="0082655B" w:rsidRDefault="00000000">
      <w:pPr>
        <w:pStyle w:val="Ttulo2"/>
        <w:rPr>
          <w:rFonts w:ascii="Verdana" w:hAnsi="Verdana"/>
          <w:sz w:val="24"/>
          <w:szCs w:val="24"/>
        </w:rPr>
      </w:pPr>
      <w:bookmarkStart w:id="2" w:name="X3ea16b8df43f359059f5a0a66e94ddc3a1127b8"/>
      <w:bookmarkEnd w:id="1"/>
      <w:r w:rsidRPr="0082655B">
        <w:rPr>
          <w:rFonts w:ascii="Verdana" w:hAnsi="Verdana"/>
          <w:sz w:val="24"/>
          <w:szCs w:val="24"/>
        </w:rPr>
        <w:t>Arquitectura del Argumento y Decisión Estratégica</w:t>
      </w:r>
    </w:p>
    <w:p w14:paraId="672092DC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3" w:name="X7f717383aa5e5786c049a0ef3a7029664486e29"/>
      <w:r w:rsidRPr="0082655B">
        <w:rPr>
          <w:rFonts w:ascii="Verdana" w:hAnsi="Verdana"/>
          <w:sz w:val="24"/>
          <w:szCs w:val="24"/>
        </w:rPr>
        <w:t>La OTAN como sistema de agresión permanente</w:t>
      </w:r>
    </w:p>
    <w:p w14:paraId="67AEE0B4" w14:textId="77777777" w:rsidR="00596D81" w:rsidRPr="0082655B" w:rsidRDefault="00000000">
      <w:pPr>
        <w:pStyle w:val="Compact"/>
        <w:numPr>
          <w:ilvl w:val="0"/>
          <w:numId w:val="6"/>
        </w:numPr>
        <w:rPr>
          <w:rFonts w:ascii="Verdana" w:hAnsi="Verdana"/>
        </w:rPr>
      </w:pPr>
      <w:r w:rsidRPr="0082655B">
        <w:rPr>
          <w:rFonts w:ascii="Verdana" w:hAnsi="Verdana"/>
        </w:rPr>
        <w:t>Tesis factual: La OTAN coordina guerras, sanciones, cambios de régimen y guerras subsidiarias orquestadas por Estados Unidos y aliados; no es una alianza defensiva sino el brazo militar-organizativo del imperialismo.</w:t>
      </w:r>
    </w:p>
    <w:p w14:paraId="3AEF50FA" w14:textId="77777777" w:rsidR="00596D81" w:rsidRPr="0082655B" w:rsidRDefault="00000000">
      <w:pPr>
        <w:pStyle w:val="Compact"/>
        <w:numPr>
          <w:ilvl w:val="0"/>
          <w:numId w:val="6"/>
        </w:numPr>
        <w:rPr>
          <w:rFonts w:ascii="Verdana" w:hAnsi="Verdana"/>
        </w:rPr>
      </w:pPr>
      <w:r w:rsidRPr="0082655B">
        <w:rPr>
          <w:rFonts w:ascii="Verdana" w:hAnsi="Verdana"/>
        </w:rPr>
        <w:t xml:space="preserve">Mecanismo: Cuando la invasión directa es inviable, se activan instrumentos de estrangulamiento económico y desestabilización política; “seguridad” equivale </w:t>
      </w:r>
      <w:proofErr w:type="gramStart"/>
      <w:r w:rsidRPr="0082655B">
        <w:rPr>
          <w:rFonts w:ascii="Verdana" w:hAnsi="Verdana"/>
        </w:rPr>
        <w:t>a</w:t>
      </w:r>
      <w:proofErr w:type="gramEnd"/>
      <w:r w:rsidRPr="0082655B">
        <w:rPr>
          <w:rFonts w:ascii="Verdana" w:hAnsi="Verdana"/>
        </w:rPr>
        <w:t xml:space="preserve"> agresión constante para mantener jerarquía y dependencia.</w:t>
      </w:r>
    </w:p>
    <w:p w14:paraId="0A025CC4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4" w:name="turquía-como-hub-operativo"/>
      <w:bookmarkEnd w:id="3"/>
      <w:r w:rsidRPr="0082655B">
        <w:rPr>
          <w:rFonts w:ascii="Verdana" w:hAnsi="Verdana"/>
          <w:sz w:val="24"/>
          <w:szCs w:val="24"/>
        </w:rPr>
        <w:t>Turquía como hub operativo</w:t>
      </w:r>
    </w:p>
    <w:p w14:paraId="17AD8BCB" w14:textId="77777777" w:rsidR="00596D81" w:rsidRPr="0082655B" w:rsidRDefault="00000000">
      <w:pPr>
        <w:pStyle w:val="Compact"/>
        <w:numPr>
          <w:ilvl w:val="0"/>
          <w:numId w:val="7"/>
        </w:numPr>
        <w:rPr>
          <w:rFonts w:ascii="Verdana" w:hAnsi="Verdana"/>
        </w:rPr>
      </w:pPr>
      <w:r w:rsidRPr="0082655B">
        <w:rPr>
          <w:rFonts w:ascii="Verdana" w:hAnsi="Verdana"/>
        </w:rPr>
        <w:t>Elementos: Cumbre de la OTAN en Turquía, creación de nuevo cuerpo y centro de operaciones, presencia de 22.000 soldados y material avanzado.</w:t>
      </w:r>
    </w:p>
    <w:p w14:paraId="77D8B43F" w14:textId="77777777" w:rsidR="00596D81" w:rsidRPr="0082655B" w:rsidRDefault="00000000">
      <w:pPr>
        <w:pStyle w:val="Compact"/>
        <w:numPr>
          <w:ilvl w:val="0"/>
          <w:numId w:val="7"/>
        </w:numPr>
        <w:rPr>
          <w:rFonts w:ascii="Verdana" w:hAnsi="Verdana"/>
        </w:rPr>
      </w:pPr>
      <w:r w:rsidRPr="0082655B">
        <w:rPr>
          <w:rFonts w:ascii="Verdana" w:hAnsi="Verdana"/>
        </w:rPr>
        <w:t xml:space="preserve">Relación: Convergencia geoestratégica entre Europa, Asia Occidental, Cáucaso y África; colaboración del gobierno de Erdogan como engranaje represivo, vinculado a la maquinaria que arma </w:t>
      </w:r>
      <w:proofErr w:type="gramStart"/>
      <w:r w:rsidRPr="0082655B">
        <w:rPr>
          <w:rFonts w:ascii="Verdana" w:hAnsi="Verdana"/>
        </w:rPr>
        <w:t>a</w:t>
      </w:r>
      <w:proofErr w:type="gramEnd"/>
      <w:r w:rsidRPr="0082655B">
        <w:rPr>
          <w:rFonts w:ascii="Verdana" w:hAnsi="Verdana"/>
        </w:rPr>
        <w:t xml:space="preserve"> Israel.</w:t>
      </w:r>
    </w:p>
    <w:p w14:paraId="4F87DC5B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5" w:name="dependencia-sistémica-y-control-interno"/>
      <w:bookmarkEnd w:id="4"/>
      <w:r w:rsidRPr="0082655B">
        <w:rPr>
          <w:rFonts w:ascii="Verdana" w:hAnsi="Verdana"/>
          <w:sz w:val="24"/>
          <w:szCs w:val="24"/>
        </w:rPr>
        <w:t>Dependencia sistémica y control interno</w:t>
      </w:r>
    </w:p>
    <w:p w14:paraId="2A1D787C" w14:textId="77777777" w:rsidR="00596D81" w:rsidRPr="0082655B" w:rsidRDefault="00000000">
      <w:pPr>
        <w:pStyle w:val="Compact"/>
        <w:numPr>
          <w:ilvl w:val="0"/>
          <w:numId w:val="8"/>
        </w:numPr>
        <w:rPr>
          <w:rFonts w:ascii="Verdana" w:hAnsi="Verdana"/>
        </w:rPr>
      </w:pPr>
      <w:r w:rsidRPr="0082655B">
        <w:rPr>
          <w:rFonts w:ascii="Verdana" w:hAnsi="Verdana"/>
        </w:rPr>
        <w:t>Componentes: Dependencia financiera, tecnológica, energética, cultural; vigilancia y marcos antiterroristas; criminalización de la disidencia.</w:t>
      </w:r>
    </w:p>
    <w:p w14:paraId="47A3F654" w14:textId="77777777" w:rsidR="00596D81" w:rsidRPr="0082655B" w:rsidRDefault="00000000">
      <w:pPr>
        <w:pStyle w:val="Compact"/>
        <w:numPr>
          <w:ilvl w:val="0"/>
          <w:numId w:val="8"/>
        </w:numPr>
        <w:rPr>
          <w:rFonts w:ascii="Verdana" w:hAnsi="Verdana"/>
        </w:rPr>
      </w:pPr>
      <w:r w:rsidRPr="0082655B">
        <w:rPr>
          <w:rFonts w:ascii="Verdana" w:hAnsi="Verdana"/>
        </w:rPr>
        <w:lastRenderedPageBreak/>
        <w:t>Finalidad: Impedir la autonomía y castigar cualquier intento de soberanía económica, política o estratégica; estabilizar la dominación imperial mediante miedo y sanción.</w:t>
      </w:r>
    </w:p>
    <w:p w14:paraId="782DC0B7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6" w:name="palestina-como-frente-central"/>
      <w:bookmarkEnd w:id="5"/>
      <w:r w:rsidRPr="0082655B">
        <w:rPr>
          <w:rFonts w:ascii="Verdana" w:hAnsi="Verdana"/>
          <w:sz w:val="24"/>
          <w:szCs w:val="24"/>
        </w:rPr>
        <w:t>Palestina como frente central</w:t>
      </w:r>
    </w:p>
    <w:p w14:paraId="0E472245" w14:textId="77777777" w:rsidR="00596D81" w:rsidRPr="0082655B" w:rsidRDefault="00000000">
      <w:pPr>
        <w:pStyle w:val="Compact"/>
        <w:numPr>
          <w:ilvl w:val="0"/>
          <w:numId w:val="9"/>
        </w:numPr>
        <w:rPr>
          <w:rFonts w:ascii="Verdana" w:hAnsi="Verdana"/>
        </w:rPr>
      </w:pPr>
      <w:r w:rsidRPr="0082655B">
        <w:rPr>
          <w:rFonts w:ascii="Verdana" w:hAnsi="Verdana"/>
        </w:rPr>
        <w:t xml:space="preserve">Alineación: El sionismo es presentado como expresión regional del imperialismo; el sistema que arma </w:t>
      </w:r>
      <w:proofErr w:type="gramStart"/>
      <w:r w:rsidRPr="0082655B">
        <w:rPr>
          <w:rFonts w:ascii="Verdana" w:hAnsi="Verdana"/>
        </w:rPr>
        <w:t>a</w:t>
      </w:r>
      <w:proofErr w:type="gramEnd"/>
      <w:r w:rsidRPr="0082655B">
        <w:rPr>
          <w:rFonts w:ascii="Verdana" w:hAnsi="Verdana"/>
        </w:rPr>
        <w:t xml:space="preserve"> Israel es el mismo que expande la OTAN.</w:t>
      </w:r>
    </w:p>
    <w:p w14:paraId="59FA7939" w14:textId="77777777" w:rsidR="00596D81" w:rsidRPr="0082655B" w:rsidRDefault="00000000">
      <w:pPr>
        <w:pStyle w:val="Compact"/>
        <w:numPr>
          <w:ilvl w:val="0"/>
          <w:numId w:val="9"/>
        </w:numPr>
        <w:rPr>
          <w:rFonts w:ascii="Verdana" w:hAnsi="Verdana"/>
        </w:rPr>
      </w:pPr>
      <w:r w:rsidRPr="0082655B">
        <w:rPr>
          <w:rFonts w:ascii="Verdana" w:hAnsi="Verdana"/>
        </w:rPr>
        <w:t>Implicación: Palestina no es un caso aislado, es un eje de la resistencia global contra el poder imperial; solidaridad y apoyo activo son obligatorios.</w:t>
      </w:r>
    </w:p>
    <w:p w14:paraId="79095679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7" w:name="lógica-de-crisis-y-contra-movimiento"/>
      <w:bookmarkEnd w:id="6"/>
      <w:r w:rsidRPr="0082655B">
        <w:rPr>
          <w:rFonts w:ascii="Verdana" w:hAnsi="Verdana"/>
          <w:sz w:val="24"/>
          <w:szCs w:val="24"/>
        </w:rPr>
        <w:t>Lógica de crisis y contra-movimiento</w:t>
      </w:r>
    </w:p>
    <w:p w14:paraId="764746D5" w14:textId="77777777" w:rsidR="00596D81" w:rsidRPr="0082655B" w:rsidRDefault="00000000">
      <w:pPr>
        <w:pStyle w:val="Compact"/>
        <w:numPr>
          <w:ilvl w:val="0"/>
          <w:numId w:val="10"/>
        </w:numPr>
        <w:rPr>
          <w:rFonts w:ascii="Verdana" w:hAnsi="Verdana"/>
        </w:rPr>
      </w:pPr>
      <w:r w:rsidRPr="0082655B">
        <w:rPr>
          <w:rFonts w:ascii="Verdana" w:hAnsi="Verdana"/>
        </w:rPr>
        <w:t>Diagnóstico: El imperialismo se expande para gestionar sus contradicciones internas y pérdida de legitimidad, generando resistencias que ya se internacionalizan.</w:t>
      </w:r>
    </w:p>
    <w:p w14:paraId="2775425B" w14:textId="77777777" w:rsidR="00596D81" w:rsidRPr="0082655B" w:rsidRDefault="00000000">
      <w:pPr>
        <w:pStyle w:val="Compact"/>
        <w:numPr>
          <w:ilvl w:val="0"/>
          <w:numId w:val="10"/>
        </w:numPr>
        <w:rPr>
          <w:rFonts w:ascii="Verdana" w:hAnsi="Verdana"/>
        </w:rPr>
      </w:pPr>
      <w:r w:rsidRPr="0082655B">
        <w:rPr>
          <w:rFonts w:ascii="Verdana" w:hAnsi="Verdana"/>
        </w:rPr>
        <w:t>Proyección: Desde Gaza al Donbás, Sahel y América Latina, y dentro de los centros imperialistas, los pueblos se organizan; cada expansión imperial produce fricción aprovechable.</w:t>
      </w:r>
    </w:p>
    <w:p w14:paraId="587F62F7" w14:textId="77777777" w:rsidR="00596D81" w:rsidRPr="0082655B" w:rsidRDefault="00000000">
      <w:pPr>
        <w:pStyle w:val="Ttulo3"/>
        <w:rPr>
          <w:rFonts w:ascii="Verdana" w:hAnsi="Verdana"/>
          <w:sz w:val="24"/>
          <w:szCs w:val="24"/>
        </w:rPr>
      </w:pPr>
      <w:bookmarkStart w:id="8" w:name="Xd4f2291c0c4e90256f88b0d2d2ea604a3c9e437"/>
      <w:bookmarkEnd w:id="7"/>
      <w:r w:rsidRPr="0082655B">
        <w:rPr>
          <w:rFonts w:ascii="Verdana" w:hAnsi="Verdana"/>
          <w:sz w:val="24"/>
          <w:szCs w:val="24"/>
        </w:rPr>
        <w:t>Veredicto estratégico: desmantelar, no reformar</w:t>
      </w:r>
    </w:p>
    <w:p w14:paraId="2A0489A1" w14:textId="77777777" w:rsidR="00596D81" w:rsidRPr="0082655B" w:rsidRDefault="00000000">
      <w:pPr>
        <w:pStyle w:val="Compact"/>
        <w:numPr>
          <w:ilvl w:val="0"/>
          <w:numId w:val="11"/>
        </w:numPr>
        <w:rPr>
          <w:rFonts w:ascii="Verdana" w:hAnsi="Verdana"/>
        </w:rPr>
      </w:pPr>
      <w:r w:rsidRPr="0082655B">
        <w:rPr>
          <w:rFonts w:ascii="Verdana" w:hAnsi="Verdana"/>
        </w:rPr>
        <w:t xml:space="preserve">Rechazos: </w:t>
      </w:r>
      <w:proofErr w:type="gramStart"/>
      <w:r w:rsidRPr="0082655B">
        <w:rPr>
          <w:rFonts w:ascii="Verdana" w:hAnsi="Verdana"/>
        </w:rPr>
        <w:t>No</w:t>
      </w:r>
      <w:proofErr w:type="gramEnd"/>
      <w:r w:rsidRPr="0082655B">
        <w:rPr>
          <w:rFonts w:ascii="Verdana" w:hAnsi="Verdana"/>
        </w:rPr>
        <w:t xml:space="preserve"> a la reforma de la OTAN, </w:t>
      </w:r>
      <w:proofErr w:type="gramStart"/>
      <w:r w:rsidRPr="0082655B">
        <w:rPr>
          <w:rFonts w:ascii="Verdana" w:hAnsi="Verdana"/>
        </w:rPr>
        <w:t>no</w:t>
      </w:r>
      <w:proofErr w:type="gramEnd"/>
      <w:r w:rsidRPr="0082655B">
        <w:rPr>
          <w:rFonts w:ascii="Verdana" w:hAnsi="Verdana"/>
        </w:rPr>
        <w:t xml:space="preserve"> a la adaptación al imperialismo, </w:t>
      </w:r>
      <w:proofErr w:type="gramStart"/>
      <w:r w:rsidRPr="0082655B">
        <w:rPr>
          <w:rFonts w:ascii="Verdana" w:hAnsi="Verdana"/>
        </w:rPr>
        <w:t>no</w:t>
      </w:r>
      <w:proofErr w:type="gramEnd"/>
      <w:r w:rsidRPr="0082655B">
        <w:rPr>
          <w:rFonts w:ascii="Verdana" w:hAnsi="Verdana"/>
        </w:rPr>
        <w:t xml:space="preserve"> a gestionar sus contradicciones.</w:t>
      </w:r>
    </w:p>
    <w:p w14:paraId="0B20AE8C" w14:textId="77777777" w:rsidR="00596D81" w:rsidRPr="0082655B" w:rsidRDefault="00000000">
      <w:pPr>
        <w:pStyle w:val="Compact"/>
        <w:numPr>
          <w:ilvl w:val="0"/>
          <w:numId w:val="11"/>
        </w:numPr>
        <w:rPr>
          <w:rFonts w:ascii="Verdana" w:hAnsi="Verdana"/>
        </w:rPr>
      </w:pPr>
      <w:r w:rsidRPr="0082655B">
        <w:rPr>
          <w:rFonts w:ascii="Verdana" w:hAnsi="Verdana"/>
        </w:rPr>
        <w:t>Synthesis operativa: Cerrar bases, retirar fuerzas, terminar con regímenes intervencionistas, reconocer autodeterminación; construir un frente internacional con unidad, independencia política y coordinación de luchas.</w:t>
      </w:r>
    </w:p>
    <w:p w14:paraId="7FD4E827" w14:textId="77777777" w:rsidR="00596D81" w:rsidRPr="0082655B" w:rsidRDefault="00000000">
      <w:pPr>
        <w:rPr>
          <w:rFonts w:ascii="Verdana" w:hAnsi="Verdana"/>
        </w:rPr>
      </w:pPr>
      <w:r w:rsidRPr="0082655B">
        <w:rPr>
          <w:rFonts w:ascii="Verdana" w:hAnsi="Verdana"/>
        </w:rPr>
        <w:pict w14:anchorId="1B1FA968">
          <v:rect id="_x0000_i1027" style="width:0;height:1.5pt" o:hralign="center" o:hrstd="t" o:hr="t"/>
        </w:pict>
      </w:r>
      <w:bookmarkEnd w:id="0"/>
      <w:bookmarkEnd w:id="2"/>
      <w:bookmarkEnd w:id="8"/>
    </w:p>
    <w:sectPr w:rsidR="00596D81" w:rsidRPr="0082655B" w:rsidSect="0082655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1116E7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5D0ABD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A992"/>
    <w:multiLevelType w:val="multilevel"/>
    <w:tmpl w:val="03C269C8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353923861">
    <w:abstractNumId w:val="4"/>
  </w:num>
  <w:num w:numId="6" w16cid:durableId="1876696825">
    <w:abstractNumId w:val="5"/>
  </w:num>
  <w:num w:numId="7" w16cid:durableId="1912809205">
    <w:abstractNumId w:val="5"/>
  </w:num>
  <w:num w:numId="8" w16cid:durableId="1158307318">
    <w:abstractNumId w:val="5"/>
  </w:num>
  <w:num w:numId="9" w16cid:durableId="265425434">
    <w:abstractNumId w:val="5"/>
  </w:num>
  <w:num w:numId="10" w16cid:durableId="740903899">
    <w:abstractNumId w:val="5"/>
  </w:num>
  <w:num w:numId="11" w16cid:durableId="1983149046">
    <w:abstractNumId w:val="5"/>
  </w:num>
  <w:num w:numId="12" w16cid:durableId="2027904685">
    <w:abstractNumId w:val="6"/>
  </w:num>
  <w:num w:numId="13" w16cid:durableId="283000181">
    <w:abstractNumId w:val="6"/>
  </w:num>
  <w:num w:numId="14" w16cid:durableId="1144814787">
    <w:abstractNumId w:val="6"/>
  </w:num>
  <w:num w:numId="15" w16cid:durableId="258567213">
    <w:abstractNumId w:val="6"/>
  </w:num>
  <w:num w:numId="16" w16cid:durableId="973366421">
    <w:abstractNumId w:val="6"/>
  </w:num>
  <w:num w:numId="17" w16cid:durableId="1546673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CC"/>
    <w:rsid w:val="00012906"/>
    <w:rsid w:val="000C1ABD"/>
    <w:rsid w:val="000D1E8A"/>
    <w:rsid w:val="000F3D3C"/>
    <w:rsid w:val="0011788E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96D81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2655B"/>
    <w:rsid w:val="008416D3"/>
    <w:rsid w:val="0085162E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865AB"/>
    <w:rsid w:val="00C9144D"/>
    <w:rsid w:val="00C94844"/>
    <w:rsid w:val="00DB673F"/>
    <w:rsid w:val="00E04222"/>
    <w:rsid w:val="00E07649"/>
    <w:rsid w:val="00E64F6C"/>
    <w:rsid w:val="00EC331D"/>
    <w:rsid w:val="00F15494"/>
    <w:rsid w:val="00F23263"/>
    <w:rsid w:val="00F75CC4"/>
    <w:rsid w:val="00FC1DF5"/>
    <w:rsid w:val="00FC30D7"/>
    <w:rsid w:val="00FD44F7"/>
    <w:rsid w:val="00FE2A30"/>
    <w:rsid w:val="F57A143E"/>
    <w:rsid w:val="FF53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88C0"/>
  <w15:docId w15:val="{E68D993C-1371-458E-B4DB-B47F552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aconnmeros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aconnmeros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styleId="Listaconvietas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aconvietas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Fecha">
    <w:name w:val="Date"/>
    <w:next w:val="Textoindependiente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tulo">
    <w:name w:val="Subtitle"/>
    <w:basedOn w:val="Ttulo"/>
    <w:next w:val="Textoindependiente"/>
    <w:link w:val="SubttuloCar"/>
    <w:uiPriority w:val="11"/>
    <w:qFormat/>
    <w:rPr>
      <w:spacing w:val="15"/>
      <w:sz w:val="28"/>
      <w:szCs w:val="28"/>
    </w:rPr>
  </w:style>
  <w:style w:type="paragraph" w:styleId="Ttulo">
    <w:name w:val="Title"/>
    <w:basedOn w:val="Normal"/>
    <w:next w:val="Textoindependiente"/>
    <w:link w:val="TtuloC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Textonotapie">
    <w:name w:val="footnote text"/>
    <w:basedOn w:val="Normal"/>
    <w:uiPriority w:val="9"/>
    <w:unhideWhenUsed/>
    <w:qFormat/>
  </w:style>
  <w:style w:type="character" w:styleId="Hipervnculo">
    <w:name w:val="Hyperlink"/>
    <w:basedOn w:val="Fuentedeprrafopredeter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DescripcinCar">
    <w:name w:val="Descripción Car"/>
    <w:basedOn w:val="Fuentedeprrafopredeter"/>
    <w:link w:val="Descripcin"/>
  </w:style>
  <w:style w:type="character" w:styleId="Refdenotaalpie">
    <w:name w:val="footnote reference"/>
    <w:basedOn w:val="DescripcinCar"/>
    <w:rPr>
      <w:vertAlign w:val="superscript"/>
    </w:rPr>
  </w:style>
  <w:style w:type="paragraph" w:customStyle="1" w:styleId="FirstParagraph">
    <w:name w:val="First Paragraph"/>
    <w:basedOn w:val="Textoindependiente"/>
    <w:next w:val="Textoindependiente"/>
    <w:qFormat/>
    <w:rsid w:val="00962302"/>
    <w:pPr>
      <w:spacing w:before="24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Descripcin"/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DescripcinC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DescripcinCar"/>
  </w:style>
  <w:style w:type="paragraph" w:customStyle="1" w:styleId="TOC1">
    <w:name w:val="TOC 标题1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Hipervnculovisitado">
    <w:name w:val="FollowedHyperlink"/>
    <w:basedOn w:val="Fuentedeprrafopredeter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Pablo Martin Galiana</cp:lastModifiedBy>
  <cp:revision>3</cp:revision>
  <dcterms:created xsi:type="dcterms:W3CDTF">2026-07-06T08:28:00Z</dcterms:created>
  <dcterms:modified xsi:type="dcterms:W3CDTF">2026-07-06T08:31:00Z</dcterms:modified>
</cp:coreProperties>
</file>